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90AFE" w14:textId="77777777" w:rsidR="00FF610B" w:rsidRDefault="00FF610B" w:rsidP="00FF610B">
      <w:pPr>
        <w:spacing w:line="276" w:lineRule="auto"/>
        <w:jc w:val="both"/>
        <w:rPr>
          <w:sz w:val="24"/>
          <w:szCs w:val="24"/>
        </w:rPr>
      </w:pPr>
    </w:p>
    <w:p w14:paraId="261BB852" w14:textId="0315FAF2" w:rsidR="00115DEE" w:rsidRDefault="007829D0" w:rsidP="00115DEE">
      <w:pPr>
        <w:spacing w:after="0" w:line="276" w:lineRule="auto"/>
        <w:jc w:val="center"/>
        <w:rPr>
          <w:b/>
          <w:bCs/>
          <w:sz w:val="24"/>
          <w:szCs w:val="24"/>
        </w:rPr>
      </w:pPr>
      <w:r>
        <w:rPr>
          <w:b/>
          <w:bCs/>
          <w:sz w:val="24"/>
          <w:szCs w:val="24"/>
        </w:rPr>
        <w:t>Reflect</w:t>
      </w:r>
      <w:r w:rsidR="0040617D">
        <w:rPr>
          <w:b/>
          <w:bCs/>
          <w:sz w:val="24"/>
          <w:szCs w:val="24"/>
        </w:rPr>
        <w:t xml:space="preserve">ion </w:t>
      </w:r>
      <w:r w:rsidR="0040617D" w:rsidRPr="00115DEE">
        <w:rPr>
          <w:b/>
          <w:bCs/>
          <w:sz w:val="24"/>
          <w:szCs w:val="24"/>
        </w:rPr>
        <w:t>on</w:t>
      </w:r>
      <w:r w:rsidR="00115DEE" w:rsidRPr="00115DEE">
        <w:rPr>
          <w:b/>
          <w:bCs/>
          <w:sz w:val="24"/>
          <w:szCs w:val="24"/>
        </w:rPr>
        <w:t xml:space="preserve"> the</w:t>
      </w:r>
      <w:r w:rsidR="00010473">
        <w:rPr>
          <w:b/>
          <w:bCs/>
          <w:sz w:val="24"/>
          <w:szCs w:val="24"/>
        </w:rPr>
        <w:t xml:space="preserve"> </w:t>
      </w:r>
      <w:r w:rsidR="0040617D">
        <w:rPr>
          <w:b/>
          <w:bCs/>
          <w:sz w:val="24"/>
          <w:szCs w:val="24"/>
        </w:rPr>
        <w:t>preparation of the</w:t>
      </w:r>
      <w:r w:rsidR="00010473">
        <w:rPr>
          <w:b/>
          <w:bCs/>
          <w:sz w:val="24"/>
          <w:szCs w:val="24"/>
        </w:rPr>
        <w:t xml:space="preserve"> 10th</w:t>
      </w:r>
      <w:r w:rsidR="0040617D">
        <w:rPr>
          <w:b/>
          <w:bCs/>
          <w:sz w:val="24"/>
          <w:szCs w:val="24"/>
        </w:rPr>
        <w:t xml:space="preserve"> EU </w:t>
      </w:r>
      <w:r w:rsidR="00010473">
        <w:rPr>
          <w:b/>
          <w:bCs/>
          <w:sz w:val="24"/>
          <w:szCs w:val="24"/>
        </w:rPr>
        <w:t xml:space="preserve">Framework Programme for </w:t>
      </w:r>
      <w:r w:rsidR="0040617D">
        <w:rPr>
          <w:b/>
          <w:bCs/>
          <w:sz w:val="24"/>
          <w:szCs w:val="24"/>
        </w:rPr>
        <w:t xml:space="preserve">research and </w:t>
      </w:r>
      <w:r w:rsidR="00285A3E">
        <w:rPr>
          <w:b/>
          <w:bCs/>
          <w:sz w:val="24"/>
          <w:szCs w:val="24"/>
        </w:rPr>
        <w:t>innovation from the perspective of the Danube Region</w:t>
      </w:r>
    </w:p>
    <w:p w14:paraId="5518AB97" w14:textId="7D48BFF2" w:rsidR="00115DEE" w:rsidRPr="00285A3E" w:rsidRDefault="00285A3E" w:rsidP="00115DEE">
      <w:pPr>
        <w:spacing w:after="0" w:line="276" w:lineRule="auto"/>
        <w:jc w:val="center"/>
        <w:rPr>
          <w:bCs/>
          <w:i/>
          <w:sz w:val="24"/>
          <w:szCs w:val="24"/>
        </w:rPr>
      </w:pPr>
      <w:r w:rsidRPr="00285A3E">
        <w:rPr>
          <w:bCs/>
          <w:i/>
          <w:sz w:val="24"/>
          <w:szCs w:val="24"/>
          <w:lang w:val="en-US"/>
        </w:rPr>
        <w:t>(</w:t>
      </w:r>
      <w:r w:rsidR="00115DEE" w:rsidRPr="00285A3E">
        <w:rPr>
          <w:bCs/>
          <w:i/>
          <w:sz w:val="24"/>
          <w:szCs w:val="24"/>
        </w:rPr>
        <w:t>b</w:t>
      </w:r>
      <w:r w:rsidRPr="00285A3E">
        <w:rPr>
          <w:bCs/>
          <w:i/>
          <w:sz w:val="24"/>
          <w:szCs w:val="24"/>
        </w:rPr>
        <w:t xml:space="preserve">y the EUSDR Priority Area 7 - </w:t>
      </w:r>
      <w:r w:rsidR="00261E20" w:rsidRPr="00285A3E">
        <w:rPr>
          <w:bCs/>
          <w:i/>
          <w:sz w:val="24"/>
          <w:szCs w:val="24"/>
        </w:rPr>
        <w:t>Knowledge Society</w:t>
      </w:r>
      <w:r w:rsidRPr="00285A3E">
        <w:rPr>
          <w:bCs/>
          <w:i/>
          <w:sz w:val="24"/>
          <w:szCs w:val="24"/>
        </w:rPr>
        <w:t>)</w:t>
      </w:r>
    </w:p>
    <w:p w14:paraId="749CA74A" w14:textId="022EB66A" w:rsidR="00115DEE" w:rsidRPr="00115DEE" w:rsidRDefault="00115DEE" w:rsidP="00115DEE">
      <w:pPr>
        <w:spacing w:after="0" w:line="276" w:lineRule="auto"/>
        <w:jc w:val="center"/>
        <w:rPr>
          <w:b/>
          <w:bCs/>
          <w:sz w:val="24"/>
          <w:szCs w:val="24"/>
        </w:rPr>
      </w:pPr>
      <w:r>
        <w:rPr>
          <w:b/>
          <w:bCs/>
          <w:sz w:val="24"/>
          <w:szCs w:val="24"/>
        </w:rPr>
        <w:t xml:space="preserve"> </w:t>
      </w:r>
    </w:p>
    <w:p w14:paraId="57B88438" w14:textId="4B053E43" w:rsidR="00FF610B" w:rsidRPr="00A14A81" w:rsidRDefault="00FF610B" w:rsidP="00FF610B">
      <w:pPr>
        <w:spacing w:line="276" w:lineRule="auto"/>
        <w:jc w:val="both"/>
        <w:rPr>
          <w:sz w:val="24"/>
          <w:szCs w:val="24"/>
        </w:rPr>
      </w:pPr>
      <w:r w:rsidRPr="00A14A81">
        <w:rPr>
          <w:sz w:val="24"/>
          <w:szCs w:val="24"/>
        </w:rPr>
        <w:t xml:space="preserve">The EU Strategy for the Danube Region (EUSDR) as one of </w:t>
      </w:r>
      <w:r w:rsidR="006810E2">
        <w:rPr>
          <w:sz w:val="24"/>
          <w:szCs w:val="24"/>
        </w:rPr>
        <w:t xml:space="preserve">four </w:t>
      </w:r>
      <w:r w:rsidRPr="00A14A81">
        <w:rPr>
          <w:sz w:val="24"/>
          <w:szCs w:val="24"/>
        </w:rPr>
        <w:t>EU macroregional strategies provides an integrated framework for strengthening cooperation between countries within the region. Bringing together 115 million people from nine EU member states and five EU candidate countries</w:t>
      </w:r>
      <w:r w:rsidR="006810E2">
        <w:rPr>
          <w:sz w:val="24"/>
          <w:szCs w:val="24"/>
        </w:rPr>
        <w:t>,</w:t>
      </w:r>
      <w:r w:rsidRPr="00A14A81">
        <w:rPr>
          <w:sz w:val="24"/>
          <w:szCs w:val="24"/>
        </w:rPr>
        <w:t xml:space="preserve"> it has an important integrative and cohesive function. </w:t>
      </w:r>
      <w:r>
        <w:rPr>
          <w:sz w:val="24"/>
          <w:szCs w:val="24"/>
        </w:rPr>
        <w:t xml:space="preserve"> It has to be stated that the Danube region is one of the most heterogeneous European regions.  </w:t>
      </w:r>
      <w:r w:rsidRPr="00A14A81">
        <w:rPr>
          <w:sz w:val="24"/>
          <w:szCs w:val="24"/>
        </w:rPr>
        <w:t xml:space="preserve">Due to </w:t>
      </w:r>
      <w:r w:rsidR="006810E2">
        <w:rPr>
          <w:sz w:val="24"/>
          <w:szCs w:val="24"/>
        </w:rPr>
        <w:t xml:space="preserve">a </w:t>
      </w:r>
      <w:r w:rsidRPr="00A14A81">
        <w:rPr>
          <w:sz w:val="24"/>
          <w:szCs w:val="24"/>
        </w:rPr>
        <w:t>different historical and political development</w:t>
      </w:r>
      <w:r w:rsidR="006810E2">
        <w:rPr>
          <w:sz w:val="24"/>
          <w:szCs w:val="24"/>
        </w:rPr>
        <w:t>,</w:t>
      </w:r>
      <w:r w:rsidRPr="00A14A81">
        <w:rPr>
          <w:sz w:val="24"/>
          <w:szCs w:val="24"/>
        </w:rPr>
        <w:t xml:space="preserve"> dissimilarities between countries and within countries persist. T</w:t>
      </w:r>
      <w:r>
        <w:rPr>
          <w:sz w:val="24"/>
          <w:szCs w:val="24"/>
        </w:rPr>
        <w:t>h</w:t>
      </w:r>
      <w:r w:rsidRPr="00A14A81">
        <w:rPr>
          <w:sz w:val="24"/>
          <w:szCs w:val="24"/>
        </w:rPr>
        <w:t xml:space="preserve">is also applies for research and innovation performance. </w:t>
      </w:r>
    </w:p>
    <w:p w14:paraId="31ABA035" w14:textId="6EFA0755" w:rsidR="00FF610B" w:rsidRPr="00285A3E" w:rsidRDefault="00FF610B" w:rsidP="00FF610B">
      <w:pPr>
        <w:spacing w:line="276" w:lineRule="auto"/>
        <w:jc w:val="both"/>
        <w:rPr>
          <w:sz w:val="24"/>
          <w:szCs w:val="24"/>
        </w:rPr>
      </w:pPr>
      <w:r w:rsidRPr="00285A3E">
        <w:rPr>
          <w:sz w:val="24"/>
          <w:szCs w:val="24"/>
        </w:rPr>
        <w:t xml:space="preserve">The main role of the Priority Area 7 of EUSDR – Knowledge Society (PA7) is to contribute to </w:t>
      </w:r>
      <w:r w:rsidR="006810E2">
        <w:rPr>
          <w:sz w:val="24"/>
          <w:szCs w:val="24"/>
        </w:rPr>
        <w:t xml:space="preserve">the development of a </w:t>
      </w:r>
      <w:r w:rsidRPr="00285A3E">
        <w:rPr>
          <w:sz w:val="24"/>
          <w:szCs w:val="24"/>
        </w:rPr>
        <w:t xml:space="preserve">knowledge society in the Danube region through </w:t>
      </w:r>
      <w:r w:rsidR="006810E2">
        <w:rPr>
          <w:sz w:val="24"/>
          <w:szCs w:val="24"/>
        </w:rPr>
        <w:t xml:space="preserve">cooperation in </w:t>
      </w:r>
      <w:r w:rsidRPr="00285A3E">
        <w:rPr>
          <w:sz w:val="24"/>
          <w:szCs w:val="24"/>
        </w:rPr>
        <w:t>research, education and information technologies. A very important aim is to promote integration of the Danube countries in the European Research Area (ERA) also through participation of Danube countries in EU framework programmes for research and innovation (R&amp;I).</w:t>
      </w:r>
    </w:p>
    <w:p w14:paraId="202DEA32" w14:textId="68184182" w:rsidR="00FF610B" w:rsidRPr="00285A3E" w:rsidRDefault="00FF610B" w:rsidP="00FF610B">
      <w:pPr>
        <w:spacing w:line="276" w:lineRule="auto"/>
        <w:jc w:val="both"/>
        <w:rPr>
          <w:rFonts w:cstheme="minorHAnsi"/>
          <w:sz w:val="24"/>
          <w:szCs w:val="24"/>
          <w:lang w:val="en-US"/>
        </w:rPr>
      </w:pPr>
      <w:r w:rsidRPr="00285A3E">
        <w:rPr>
          <w:rFonts w:cstheme="minorHAnsi"/>
          <w:sz w:val="24"/>
          <w:szCs w:val="24"/>
        </w:rPr>
        <w:t>Based on the experiences of PA 7 coordinators, steering group members, working group leaders and flagship project coordinators (in particular</w:t>
      </w:r>
      <w:r w:rsidR="00E274E2">
        <w:rPr>
          <w:rFonts w:cstheme="minorHAnsi"/>
          <w:sz w:val="24"/>
          <w:szCs w:val="24"/>
        </w:rPr>
        <w:t xml:space="preserve"> the</w:t>
      </w:r>
      <w:r w:rsidRPr="00285A3E">
        <w:rPr>
          <w:rFonts w:cstheme="minorHAnsi"/>
          <w:sz w:val="24"/>
          <w:szCs w:val="24"/>
        </w:rPr>
        <w:t xml:space="preserve"> Horizon Europe project </w:t>
      </w:r>
      <w:r w:rsidR="00E274E2" w:rsidRPr="00285A3E">
        <w:rPr>
          <w:rFonts w:cstheme="minorHAnsi"/>
          <w:sz w:val="24"/>
          <w:szCs w:val="24"/>
        </w:rPr>
        <w:t>POLICY ANSWERS</w:t>
      </w:r>
      <w:r w:rsidRPr="00285A3E">
        <w:rPr>
          <w:rFonts w:cstheme="minorHAnsi"/>
          <w:sz w:val="24"/>
          <w:szCs w:val="24"/>
          <w:lang w:val="en-US"/>
        </w:rPr>
        <w:t xml:space="preserve">) this document aims at defining (some) key points </w:t>
      </w:r>
      <w:r w:rsidR="00C63F51" w:rsidRPr="00285A3E">
        <w:rPr>
          <w:rFonts w:cstheme="minorHAnsi"/>
          <w:sz w:val="24"/>
          <w:szCs w:val="24"/>
          <w:lang w:val="en-US"/>
        </w:rPr>
        <w:t>that</w:t>
      </w:r>
      <w:r w:rsidRPr="00285A3E">
        <w:rPr>
          <w:rFonts w:cstheme="minorHAnsi"/>
          <w:sz w:val="24"/>
          <w:szCs w:val="24"/>
          <w:lang w:val="en-US"/>
        </w:rPr>
        <w:t xml:space="preserve"> are relevant for competitiveness and innovation in the next programming period focusing on the needs typical for the Danube region. </w:t>
      </w:r>
    </w:p>
    <w:p w14:paraId="13F1D0A4" w14:textId="7175E8CA" w:rsidR="00FF610B" w:rsidRPr="00A14A81" w:rsidRDefault="00907D82" w:rsidP="00FF610B">
      <w:pPr>
        <w:spacing w:line="276" w:lineRule="auto"/>
        <w:jc w:val="both"/>
        <w:rPr>
          <w:rFonts w:cstheme="minorHAnsi"/>
          <w:sz w:val="24"/>
          <w:szCs w:val="24"/>
        </w:rPr>
      </w:pPr>
      <w:r>
        <w:rPr>
          <w:rFonts w:cstheme="minorHAnsi"/>
          <w:sz w:val="24"/>
          <w:szCs w:val="24"/>
          <w:lang w:val="en-US"/>
        </w:rPr>
        <w:t xml:space="preserve">We </w:t>
      </w:r>
      <w:r w:rsidRPr="00285A3E">
        <w:rPr>
          <w:rFonts w:cstheme="minorHAnsi"/>
          <w:sz w:val="24"/>
          <w:szCs w:val="24"/>
          <w:lang w:val="en-US"/>
        </w:rPr>
        <w:t>acknowled</w:t>
      </w:r>
      <w:r>
        <w:rPr>
          <w:rFonts w:cstheme="minorHAnsi"/>
          <w:sz w:val="24"/>
          <w:szCs w:val="24"/>
          <w:lang w:val="en-US"/>
        </w:rPr>
        <w:t xml:space="preserve">ge </w:t>
      </w:r>
      <w:r w:rsidR="00FF610B" w:rsidRPr="00285A3E">
        <w:rPr>
          <w:rFonts w:cstheme="minorHAnsi"/>
          <w:sz w:val="24"/>
          <w:szCs w:val="24"/>
          <w:lang w:val="en-US"/>
        </w:rPr>
        <w:t xml:space="preserve">the main principles for R&amp;I support, such as </w:t>
      </w:r>
      <w:r w:rsidR="00FF610B" w:rsidRPr="00285A3E">
        <w:rPr>
          <w:rFonts w:cstheme="minorHAnsi"/>
          <w:b/>
          <w:sz w:val="24"/>
          <w:szCs w:val="24"/>
          <w:lang w:val="en-US"/>
        </w:rPr>
        <w:t xml:space="preserve">excellence, green and digital transformation, increasing role of AI, </w:t>
      </w:r>
      <w:r w:rsidR="00FF610B" w:rsidRPr="00285A3E">
        <w:rPr>
          <w:rFonts w:cstheme="minorHAnsi"/>
          <w:b/>
          <w:sz w:val="24"/>
          <w:szCs w:val="24"/>
        </w:rPr>
        <w:t xml:space="preserve">stimulation of public-private cooperation, data-driven economy, </w:t>
      </w:r>
      <w:r w:rsidR="00E67F33">
        <w:rPr>
          <w:rFonts w:cstheme="minorHAnsi"/>
          <w:b/>
          <w:sz w:val="24"/>
          <w:szCs w:val="24"/>
        </w:rPr>
        <w:t xml:space="preserve">and the autonomy, </w:t>
      </w:r>
      <w:r w:rsidR="00FF610B" w:rsidRPr="00285A3E">
        <w:rPr>
          <w:rFonts w:cstheme="minorHAnsi"/>
          <w:b/>
          <w:sz w:val="24"/>
          <w:szCs w:val="24"/>
        </w:rPr>
        <w:t>integrity and security</w:t>
      </w:r>
      <w:r w:rsidR="00E67F33">
        <w:rPr>
          <w:rFonts w:cstheme="minorHAnsi"/>
          <w:b/>
          <w:sz w:val="24"/>
          <w:szCs w:val="24"/>
        </w:rPr>
        <w:t xml:space="preserve"> of research;</w:t>
      </w:r>
      <w:r w:rsidR="00FF610B" w:rsidRPr="00285A3E">
        <w:rPr>
          <w:rFonts w:cstheme="minorHAnsi"/>
          <w:b/>
          <w:sz w:val="24"/>
          <w:szCs w:val="24"/>
          <w:lang w:val="en-US"/>
        </w:rPr>
        <w:t xml:space="preserve"> </w:t>
      </w:r>
      <w:r w:rsidR="007540F1" w:rsidRPr="00907D82">
        <w:rPr>
          <w:rFonts w:cstheme="minorHAnsi"/>
          <w:sz w:val="24"/>
          <w:szCs w:val="24"/>
          <w:lang w:val="en-US"/>
        </w:rPr>
        <w:t xml:space="preserve">however, </w:t>
      </w:r>
      <w:r w:rsidR="007540F1" w:rsidRPr="00285A3E">
        <w:rPr>
          <w:rFonts w:cstheme="minorHAnsi"/>
          <w:sz w:val="24"/>
          <w:szCs w:val="24"/>
          <w:lang w:val="en-US"/>
        </w:rPr>
        <w:t>these</w:t>
      </w:r>
      <w:r>
        <w:rPr>
          <w:rFonts w:cstheme="minorHAnsi"/>
          <w:sz w:val="24"/>
          <w:szCs w:val="24"/>
          <w:lang w:val="en-US"/>
        </w:rPr>
        <w:t xml:space="preserve"> </w:t>
      </w:r>
      <w:r w:rsidR="003E4404">
        <w:rPr>
          <w:rFonts w:cstheme="minorHAnsi"/>
          <w:sz w:val="24"/>
          <w:szCs w:val="24"/>
          <w:lang w:val="en-US"/>
        </w:rPr>
        <w:t xml:space="preserve">are by far not the only factors. </w:t>
      </w:r>
      <w:r w:rsidR="003E4404">
        <w:rPr>
          <w:rFonts w:cstheme="minorHAnsi"/>
          <w:sz w:val="24"/>
          <w:szCs w:val="24"/>
        </w:rPr>
        <w:t>W</w:t>
      </w:r>
      <w:r w:rsidR="00FF610B" w:rsidRPr="00285A3E">
        <w:rPr>
          <w:rFonts w:cstheme="minorHAnsi"/>
          <w:sz w:val="24"/>
          <w:szCs w:val="24"/>
        </w:rPr>
        <w:t xml:space="preserve">e are convinced that </w:t>
      </w:r>
      <w:r w:rsidR="00E67F33">
        <w:rPr>
          <w:rFonts w:cstheme="minorHAnsi"/>
          <w:sz w:val="24"/>
          <w:szCs w:val="24"/>
        </w:rPr>
        <w:t xml:space="preserve">the </w:t>
      </w:r>
      <w:r w:rsidR="00FF610B" w:rsidRPr="00285A3E">
        <w:rPr>
          <w:rFonts w:cstheme="minorHAnsi"/>
          <w:b/>
          <w:sz w:val="24"/>
          <w:szCs w:val="24"/>
        </w:rPr>
        <w:t xml:space="preserve">geographical location, regulatory environment and market dynamics </w:t>
      </w:r>
      <w:r w:rsidR="003E4404" w:rsidRPr="003E4404">
        <w:rPr>
          <w:rFonts w:cstheme="minorHAnsi"/>
          <w:sz w:val="24"/>
          <w:szCs w:val="24"/>
        </w:rPr>
        <w:t>also</w:t>
      </w:r>
      <w:r w:rsidR="003E4404">
        <w:rPr>
          <w:rFonts w:cstheme="minorHAnsi"/>
          <w:b/>
          <w:sz w:val="24"/>
          <w:szCs w:val="24"/>
        </w:rPr>
        <w:t xml:space="preserve"> </w:t>
      </w:r>
      <w:r w:rsidR="00FF610B" w:rsidRPr="00285A3E">
        <w:rPr>
          <w:rFonts w:cstheme="minorHAnsi"/>
          <w:sz w:val="24"/>
          <w:szCs w:val="24"/>
        </w:rPr>
        <w:t>play an important role in shaping innovation outcomes. If we want the whole of Europe to be more competitive, we also need to take into account these contextual elements.</w:t>
      </w:r>
    </w:p>
    <w:p w14:paraId="5E091758" w14:textId="550CCF31" w:rsidR="00FF610B" w:rsidRPr="00A14A81" w:rsidRDefault="003E4404" w:rsidP="00FF610B">
      <w:pPr>
        <w:spacing w:line="276" w:lineRule="auto"/>
        <w:rPr>
          <w:rFonts w:eastAsia="Times New Roman" w:cstheme="minorHAnsi"/>
          <w:sz w:val="24"/>
          <w:szCs w:val="24"/>
        </w:rPr>
      </w:pPr>
      <w:r>
        <w:rPr>
          <w:rFonts w:eastAsia="Times New Roman" w:cstheme="minorHAnsi"/>
          <w:sz w:val="24"/>
          <w:szCs w:val="24"/>
        </w:rPr>
        <w:t>To</w:t>
      </w:r>
      <w:r w:rsidR="00FF610B" w:rsidRPr="00A14A81">
        <w:rPr>
          <w:rFonts w:eastAsia="Times New Roman" w:cstheme="minorHAnsi"/>
          <w:sz w:val="24"/>
          <w:szCs w:val="24"/>
        </w:rPr>
        <w:t xml:space="preserve"> </w:t>
      </w:r>
      <w:r w:rsidR="00CA28EC">
        <w:rPr>
          <w:rFonts w:eastAsia="Times New Roman" w:cstheme="minorHAnsi"/>
          <w:sz w:val="24"/>
          <w:szCs w:val="24"/>
        </w:rPr>
        <w:t>support</w:t>
      </w:r>
      <w:r w:rsidR="00E67F33">
        <w:rPr>
          <w:rFonts w:eastAsia="Times New Roman" w:cstheme="minorHAnsi"/>
          <w:sz w:val="24"/>
          <w:szCs w:val="24"/>
        </w:rPr>
        <w:t xml:space="preserve"> the</w:t>
      </w:r>
      <w:r w:rsidR="00FF610B" w:rsidRPr="00A14A81">
        <w:rPr>
          <w:rFonts w:eastAsia="Times New Roman" w:cstheme="minorHAnsi"/>
          <w:sz w:val="24"/>
          <w:szCs w:val="24"/>
        </w:rPr>
        <w:t xml:space="preserve"> full integration of all European countries </w:t>
      </w:r>
      <w:r w:rsidR="00CE05DF">
        <w:rPr>
          <w:rFonts w:eastAsia="Times New Roman" w:cstheme="minorHAnsi"/>
          <w:sz w:val="24"/>
          <w:szCs w:val="24"/>
        </w:rPr>
        <w:t>in</w:t>
      </w:r>
      <w:r w:rsidR="00FF610B" w:rsidRPr="00A14A81">
        <w:rPr>
          <w:rFonts w:eastAsia="Times New Roman" w:cstheme="minorHAnsi"/>
          <w:sz w:val="24"/>
          <w:szCs w:val="24"/>
        </w:rPr>
        <w:t xml:space="preserve">to the ERA </w:t>
      </w:r>
      <w:r w:rsidR="00740536">
        <w:rPr>
          <w:rFonts w:eastAsia="Times New Roman" w:cstheme="minorHAnsi"/>
          <w:sz w:val="24"/>
          <w:szCs w:val="24"/>
        </w:rPr>
        <w:t xml:space="preserve">and achieve </w:t>
      </w:r>
      <w:r w:rsidR="00E67F33">
        <w:rPr>
          <w:rFonts w:eastAsia="Times New Roman" w:cstheme="minorHAnsi"/>
          <w:sz w:val="24"/>
          <w:szCs w:val="24"/>
        </w:rPr>
        <w:t xml:space="preserve">a </w:t>
      </w:r>
      <w:r w:rsidR="00740536">
        <w:rPr>
          <w:rFonts w:eastAsia="Times New Roman" w:cstheme="minorHAnsi"/>
          <w:sz w:val="24"/>
          <w:szCs w:val="24"/>
        </w:rPr>
        <w:t xml:space="preserve">maximum impact of the instruments in the Framework Programme </w:t>
      </w:r>
      <w:r w:rsidR="00FF610B" w:rsidRPr="00A14A81">
        <w:rPr>
          <w:rFonts w:eastAsia="Times New Roman" w:cstheme="minorHAnsi"/>
          <w:sz w:val="24"/>
          <w:szCs w:val="24"/>
        </w:rPr>
        <w:t>we have to</w:t>
      </w:r>
      <w:r w:rsidR="00FF610B">
        <w:rPr>
          <w:rFonts w:eastAsia="Times New Roman" w:cstheme="minorHAnsi"/>
          <w:sz w:val="24"/>
          <w:szCs w:val="24"/>
        </w:rPr>
        <w:t>:</w:t>
      </w:r>
    </w:p>
    <w:p w14:paraId="012D0DC6" w14:textId="7A62CB51" w:rsidR="007B3C2A" w:rsidRPr="00907D82" w:rsidRDefault="00345913" w:rsidP="00261E20">
      <w:pPr>
        <w:pStyle w:val="Odsekzoznamu"/>
        <w:numPr>
          <w:ilvl w:val="0"/>
          <w:numId w:val="2"/>
        </w:numPr>
        <w:spacing w:line="276" w:lineRule="auto"/>
        <w:jc w:val="both"/>
        <w:rPr>
          <w:rFonts w:asciiTheme="minorHAnsi" w:eastAsia="Times New Roman" w:hAnsiTheme="minorHAnsi" w:cstheme="minorHAnsi"/>
          <w:sz w:val="24"/>
          <w:szCs w:val="24"/>
          <w:lang w:val="en-GB"/>
        </w:rPr>
      </w:pPr>
      <w:r w:rsidRPr="00DC7635">
        <w:rPr>
          <w:rFonts w:asciiTheme="minorHAnsi" w:hAnsiTheme="minorHAnsi" w:cstheme="minorHAnsi"/>
          <w:b/>
          <w:bCs/>
          <w:sz w:val="24"/>
          <w:szCs w:val="24"/>
          <w:lang w:val="en-GB"/>
        </w:rPr>
        <w:t>continue</w:t>
      </w:r>
      <w:r w:rsidR="007B3C2A" w:rsidRPr="00DC7635">
        <w:rPr>
          <w:rFonts w:asciiTheme="minorHAnsi" w:hAnsiTheme="minorHAnsi" w:cstheme="minorHAnsi"/>
          <w:b/>
          <w:bCs/>
          <w:sz w:val="24"/>
          <w:szCs w:val="24"/>
          <w:lang w:val="en-GB"/>
        </w:rPr>
        <w:t xml:space="preserve"> to support capacity building through Widening calls</w:t>
      </w:r>
      <w:r w:rsidR="00A9096D" w:rsidRPr="00DC7635">
        <w:rPr>
          <w:rFonts w:asciiTheme="minorHAnsi" w:hAnsiTheme="minorHAnsi" w:cstheme="minorHAnsi"/>
          <w:b/>
          <w:bCs/>
          <w:sz w:val="24"/>
          <w:szCs w:val="24"/>
          <w:lang w:val="en-GB"/>
        </w:rPr>
        <w:t xml:space="preserve"> </w:t>
      </w:r>
      <w:r w:rsidRPr="00DC7635">
        <w:rPr>
          <w:rFonts w:asciiTheme="minorHAnsi" w:hAnsiTheme="minorHAnsi" w:cstheme="minorHAnsi"/>
          <w:b/>
          <w:bCs/>
          <w:sz w:val="24"/>
          <w:szCs w:val="24"/>
          <w:lang w:val="en-GB"/>
        </w:rPr>
        <w:t>and/or</w:t>
      </w:r>
      <w:r w:rsidR="00A9096D" w:rsidRPr="00DC7635">
        <w:rPr>
          <w:rFonts w:asciiTheme="minorHAnsi" w:hAnsiTheme="minorHAnsi" w:cstheme="minorHAnsi"/>
          <w:b/>
          <w:bCs/>
          <w:sz w:val="24"/>
          <w:szCs w:val="24"/>
          <w:lang w:val="en-GB"/>
        </w:rPr>
        <w:t xml:space="preserve"> </w:t>
      </w:r>
      <w:r w:rsidR="007B3C2A" w:rsidRPr="00DC7635">
        <w:rPr>
          <w:rFonts w:asciiTheme="minorHAnsi" w:hAnsiTheme="minorHAnsi" w:cstheme="minorHAnsi"/>
          <w:b/>
          <w:bCs/>
          <w:sz w:val="24"/>
          <w:szCs w:val="24"/>
          <w:lang w:val="en-GB"/>
        </w:rPr>
        <w:t>similar schemes</w:t>
      </w:r>
      <w:r w:rsidR="007B3C2A" w:rsidRPr="00345913">
        <w:rPr>
          <w:rFonts w:asciiTheme="minorHAnsi" w:hAnsiTheme="minorHAnsi" w:cstheme="minorHAnsi"/>
          <w:sz w:val="24"/>
          <w:szCs w:val="24"/>
          <w:lang w:val="en-GB"/>
        </w:rPr>
        <w:t xml:space="preserve"> like „Advancing </w:t>
      </w:r>
      <w:proofErr w:type="gramStart"/>
      <w:r w:rsidR="007B3C2A" w:rsidRPr="00345913">
        <w:rPr>
          <w:rFonts w:asciiTheme="minorHAnsi" w:hAnsiTheme="minorHAnsi" w:cstheme="minorHAnsi"/>
          <w:sz w:val="24"/>
          <w:szCs w:val="24"/>
          <w:lang w:val="en-GB"/>
        </w:rPr>
        <w:t>Europe“</w:t>
      </w:r>
      <w:proofErr w:type="gramEnd"/>
      <w:r w:rsidR="00320D45" w:rsidRPr="00345913">
        <w:rPr>
          <w:rStyle w:val="Odkaznapoznmkupodiarou"/>
          <w:rFonts w:asciiTheme="minorHAnsi" w:hAnsiTheme="minorHAnsi" w:cstheme="minorHAnsi"/>
          <w:sz w:val="24"/>
          <w:szCs w:val="24"/>
          <w:lang w:val="en-GB"/>
        </w:rPr>
        <w:footnoteReference w:id="1"/>
      </w:r>
      <w:r w:rsidR="007B3C2A" w:rsidRPr="00345913">
        <w:rPr>
          <w:rFonts w:asciiTheme="minorHAnsi" w:hAnsiTheme="minorHAnsi" w:cstheme="minorHAnsi"/>
          <w:sz w:val="24"/>
          <w:szCs w:val="24"/>
          <w:lang w:val="en-GB"/>
        </w:rPr>
        <w:t xml:space="preserve"> in order to strengthen research excellence in </w:t>
      </w:r>
      <w:r w:rsidR="007B3C2A" w:rsidRPr="00E274E2">
        <w:rPr>
          <w:rFonts w:asciiTheme="minorHAnsi" w:hAnsiTheme="minorHAnsi" w:cstheme="minorHAnsi"/>
          <w:sz w:val="24"/>
          <w:szCs w:val="24"/>
          <w:u w:val="single"/>
          <w:lang w:val="en-GB"/>
        </w:rPr>
        <w:t>all</w:t>
      </w:r>
      <w:r w:rsidR="007B3C2A" w:rsidRPr="00345913">
        <w:rPr>
          <w:rFonts w:asciiTheme="minorHAnsi" w:hAnsiTheme="minorHAnsi" w:cstheme="minorHAnsi"/>
          <w:sz w:val="24"/>
          <w:szCs w:val="24"/>
          <w:lang w:val="en-GB"/>
        </w:rPr>
        <w:t xml:space="preserve"> Member States and </w:t>
      </w:r>
      <w:r w:rsidR="00E67F33">
        <w:rPr>
          <w:rFonts w:asciiTheme="minorHAnsi" w:hAnsiTheme="minorHAnsi" w:cstheme="minorHAnsi"/>
          <w:sz w:val="24"/>
          <w:szCs w:val="24"/>
          <w:lang w:val="en-GB"/>
        </w:rPr>
        <w:t xml:space="preserve">candidate </w:t>
      </w:r>
      <w:r w:rsidR="007B3C2A" w:rsidRPr="00345913">
        <w:rPr>
          <w:rFonts w:asciiTheme="minorHAnsi" w:hAnsiTheme="minorHAnsi" w:cstheme="minorHAnsi"/>
          <w:sz w:val="24"/>
          <w:szCs w:val="24"/>
          <w:lang w:val="en-GB"/>
        </w:rPr>
        <w:t>countries</w:t>
      </w:r>
      <w:r w:rsidR="00850FBA">
        <w:rPr>
          <w:rFonts w:asciiTheme="minorHAnsi" w:hAnsiTheme="minorHAnsi" w:cstheme="minorHAnsi"/>
          <w:sz w:val="24"/>
          <w:szCs w:val="24"/>
          <w:lang w:val="en-GB"/>
        </w:rPr>
        <w:t>;</w:t>
      </w:r>
      <w:r w:rsidR="007B3C2A" w:rsidRPr="00345913">
        <w:rPr>
          <w:rFonts w:asciiTheme="minorHAnsi" w:hAnsiTheme="minorHAnsi" w:cstheme="minorHAnsi"/>
          <w:sz w:val="24"/>
          <w:szCs w:val="24"/>
          <w:lang w:val="en-GB"/>
        </w:rPr>
        <w:t xml:space="preserve"> </w:t>
      </w:r>
    </w:p>
    <w:p w14:paraId="0884C34D" w14:textId="293AFCFB" w:rsidR="00FF610B" w:rsidRPr="00345913" w:rsidRDefault="00FF610B" w:rsidP="00261E20">
      <w:pPr>
        <w:pStyle w:val="Odsekzoznamu"/>
        <w:numPr>
          <w:ilvl w:val="0"/>
          <w:numId w:val="2"/>
        </w:numPr>
        <w:spacing w:line="276" w:lineRule="auto"/>
        <w:jc w:val="both"/>
        <w:rPr>
          <w:rFonts w:asciiTheme="minorHAnsi" w:eastAsia="Times New Roman" w:hAnsiTheme="minorHAnsi" w:cstheme="minorHAnsi"/>
          <w:sz w:val="24"/>
          <w:szCs w:val="24"/>
          <w:lang w:val="en-GB"/>
        </w:rPr>
      </w:pPr>
      <w:r w:rsidRPr="00907D82">
        <w:rPr>
          <w:rFonts w:asciiTheme="minorHAnsi" w:eastAsia="Times New Roman" w:hAnsiTheme="minorHAnsi" w:cstheme="minorHAnsi"/>
          <w:sz w:val="24"/>
          <w:szCs w:val="24"/>
          <w:lang w:val="en-GB"/>
        </w:rPr>
        <w:lastRenderedPageBreak/>
        <w:t xml:space="preserve">allow for ambitious </w:t>
      </w:r>
      <w:r w:rsidRPr="00907D82">
        <w:rPr>
          <w:rFonts w:asciiTheme="minorHAnsi" w:eastAsia="Times New Roman" w:hAnsiTheme="minorHAnsi" w:cstheme="minorHAnsi"/>
          <w:b/>
          <w:sz w:val="24"/>
          <w:szCs w:val="24"/>
          <w:lang w:val="en-GB"/>
        </w:rPr>
        <w:t>catch-up</w:t>
      </w:r>
      <w:r w:rsidR="00CA28EC" w:rsidRPr="00345913">
        <w:rPr>
          <w:rFonts w:asciiTheme="minorHAnsi" w:eastAsia="Times New Roman" w:hAnsiTheme="minorHAnsi" w:cstheme="minorHAnsi"/>
          <w:b/>
          <w:sz w:val="24"/>
          <w:szCs w:val="24"/>
          <w:lang w:val="en-GB"/>
        </w:rPr>
        <w:t xml:space="preserve"> </w:t>
      </w:r>
      <w:r w:rsidR="00A9096D" w:rsidRPr="00345913">
        <w:rPr>
          <w:rFonts w:asciiTheme="minorHAnsi" w:eastAsia="Times New Roman" w:hAnsiTheme="minorHAnsi" w:cstheme="minorHAnsi"/>
          <w:b/>
          <w:sz w:val="24"/>
          <w:szCs w:val="24"/>
          <w:lang w:val="en-GB"/>
        </w:rPr>
        <w:t>instruments</w:t>
      </w:r>
      <w:r w:rsidRPr="00345913">
        <w:rPr>
          <w:rFonts w:asciiTheme="minorHAnsi" w:eastAsia="Times New Roman" w:hAnsiTheme="minorHAnsi" w:cstheme="minorHAnsi"/>
          <w:b/>
          <w:sz w:val="24"/>
          <w:szCs w:val="24"/>
          <w:lang w:val="en-GB"/>
        </w:rPr>
        <w:t xml:space="preserve"> </w:t>
      </w:r>
      <w:r w:rsidRPr="00345913">
        <w:rPr>
          <w:rFonts w:asciiTheme="minorHAnsi" w:eastAsia="Times New Roman" w:hAnsiTheme="minorHAnsi" w:cstheme="minorHAnsi"/>
          <w:sz w:val="24"/>
          <w:szCs w:val="24"/>
          <w:lang w:val="en-GB"/>
        </w:rPr>
        <w:t>to align with European R&amp;I standards</w:t>
      </w:r>
      <w:r w:rsidR="00740536" w:rsidRPr="00345913">
        <w:rPr>
          <w:rFonts w:asciiTheme="minorHAnsi" w:eastAsia="Times New Roman" w:hAnsiTheme="minorHAnsi" w:cstheme="minorHAnsi"/>
          <w:sz w:val="24"/>
          <w:szCs w:val="24"/>
          <w:lang w:val="en-GB"/>
        </w:rPr>
        <w:t xml:space="preserve"> (also with complementary funding via e.g. the Structural Funds, the European Semester etc.)</w:t>
      </w:r>
      <w:r w:rsidR="00261E20" w:rsidRPr="00345913">
        <w:rPr>
          <w:rFonts w:asciiTheme="minorHAnsi" w:eastAsia="Times New Roman" w:hAnsiTheme="minorHAnsi" w:cstheme="minorHAnsi"/>
          <w:sz w:val="24"/>
          <w:szCs w:val="24"/>
          <w:lang w:val="en-GB"/>
        </w:rPr>
        <w:t>;</w:t>
      </w:r>
    </w:p>
    <w:p w14:paraId="684518F1" w14:textId="5F695D05" w:rsidR="00FF610B" w:rsidRPr="00345913" w:rsidRDefault="00010473" w:rsidP="00261E20">
      <w:pPr>
        <w:pStyle w:val="Odsekzoznamu"/>
        <w:numPr>
          <w:ilvl w:val="0"/>
          <w:numId w:val="2"/>
        </w:numPr>
        <w:spacing w:line="276" w:lineRule="auto"/>
        <w:jc w:val="both"/>
        <w:rPr>
          <w:rFonts w:asciiTheme="minorHAnsi" w:eastAsia="Times New Roman" w:hAnsiTheme="minorHAnsi" w:cstheme="minorHAnsi"/>
          <w:sz w:val="24"/>
          <w:szCs w:val="24"/>
          <w:lang w:val="en-GB"/>
        </w:rPr>
      </w:pPr>
      <w:r>
        <w:rPr>
          <w:rFonts w:asciiTheme="minorHAnsi" w:eastAsia="Times New Roman" w:hAnsiTheme="minorHAnsi" w:cstheme="minorHAnsi"/>
          <w:b/>
          <w:sz w:val="24"/>
          <w:szCs w:val="24"/>
          <w:lang w:val="en-GB"/>
        </w:rPr>
        <w:t>avoid supporting “isolated islands of excellence”</w:t>
      </w:r>
      <w:r w:rsidR="00FF610B" w:rsidRPr="00345913">
        <w:rPr>
          <w:rFonts w:asciiTheme="minorHAnsi" w:eastAsia="Times New Roman" w:hAnsiTheme="minorHAnsi" w:cstheme="minorHAnsi"/>
          <w:sz w:val="24"/>
          <w:szCs w:val="24"/>
          <w:lang w:val="en-GB"/>
        </w:rPr>
        <w:t xml:space="preserve"> </w:t>
      </w:r>
      <w:r w:rsidR="00850FBA">
        <w:rPr>
          <w:rFonts w:asciiTheme="minorHAnsi" w:eastAsia="Times New Roman" w:hAnsiTheme="minorHAnsi" w:cstheme="minorHAnsi"/>
          <w:sz w:val="24"/>
          <w:szCs w:val="24"/>
          <w:lang w:val="en-GB"/>
        </w:rPr>
        <w:t xml:space="preserve"> and </w:t>
      </w:r>
      <w:r w:rsidR="00A9096D" w:rsidRPr="00345913">
        <w:rPr>
          <w:rFonts w:asciiTheme="minorHAnsi" w:eastAsia="Times New Roman" w:hAnsiTheme="minorHAnsi" w:cstheme="minorHAnsi"/>
          <w:sz w:val="24"/>
          <w:szCs w:val="24"/>
          <w:lang w:val="en-GB"/>
        </w:rPr>
        <w:t xml:space="preserve"> </w:t>
      </w:r>
      <w:r w:rsidR="00FF610B" w:rsidRPr="00345913">
        <w:rPr>
          <w:rFonts w:asciiTheme="minorHAnsi" w:eastAsia="Times New Roman" w:hAnsiTheme="minorHAnsi" w:cstheme="minorHAnsi"/>
          <w:sz w:val="24"/>
          <w:szCs w:val="24"/>
          <w:lang w:val="en-GB"/>
        </w:rPr>
        <w:t>without ecosystem impact</w:t>
      </w:r>
      <w:r w:rsidR="00261E20" w:rsidRPr="00345913">
        <w:rPr>
          <w:rFonts w:asciiTheme="minorHAnsi" w:eastAsia="Times New Roman" w:hAnsiTheme="minorHAnsi" w:cstheme="minorHAnsi"/>
          <w:sz w:val="24"/>
          <w:szCs w:val="24"/>
          <w:lang w:val="en-GB"/>
        </w:rPr>
        <w:t>;</w:t>
      </w:r>
    </w:p>
    <w:p w14:paraId="6A9F9865" w14:textId="77777777" w:rsidR="008A05DC" w:rsidRPr="00345913" w:rsidRDefault="008A05DC" w:rsidP="008A05DC">
      <w:pPr>
        <w:numPr>
          <w:ilvl w:val="0"/>
          <w:numId w:val="2"/>
        </w:numPr>
        <w:spacing w:after="0" w:line="276" w:lineRule="auto"/>
        <w:jc w:val="both"/>
        <w:rPr>
          <w:rFonts w:eastAsia="Times New Roman" w:cstheme="minorHAnsi"/>
          <w:sz w:val="24"/>
          <w:szCs w:val="24"/>
        </w:rPr>
      </w:pPr>
      <w:r w:rsidRPr="00345913">
        <w:rPr>
          <w:rFonts w:eastAsia="Times New Roman" w:cstheme="minorHAnsi"/>
          <w:sz w:val="24"/>
          <w:szCs w:val="24"/>
        </w:rPr>
        <w:t xml:space="preserve">increase the available budget to </w:t>
      </w:r>
      <w:r w:rsidRPr="00345913">
        <w:rPr>
          <w:rFonts w:eastAsia="Times New Roman" w:cstheme="minorHAnsi"/>
          <w:b/>
          <w:sz w:val="24"/>
          <w:szCs w:val="24"/>
        </w:rPr>
        <w:t>raise success rates</w:t>
      </w:r>
      <w:r w:rsidRPr="00345913">
        <w:rPr>
          <w:rFonts w:eastAsia="Times New Roman" w:cstheme="minorHAnsi"/>
          <w:sz w:val="24"/>
          <w:szCs w:val="24"/>
        </w:rPr>
        <w:t xml:space="preserve">, especially for Marie </w:t>
      </w:r>
      <w:proofErr w:type="spellStart"/>
      <w:r w:rsidRPr="00345913">
        <w:rPr>
          <w:rFonts w:eastAsia="Times New Roman" w:cstheme="minorHAnsi"/>
          <w:sz w:val="24"/>
          <w:szCs w:val="24"/>
        </w:rPr>
        <w:t>Skłodowska</w:t>
      </w:r>
      <w:proofErr w:type="spellEnd"/>
      <w:r w:rsidRPr="00345913">
        <w:rPr>
          <w:rFonts w:eastAsia="Times New Roman" w:cstheme="minorHAnsi"/>
          <w:sz w:val="24"/>
          <w:szCs w:val="24"/>
        </w:rPr>
        <w:t>-Curie Actions (MSCA) and collaborative projects;</w:t>
      </w:r>
    </w:p>
    <w:p w14:paraId="1C8FAE5E" w14:textId="34DD3F76" w:rsidR="00A9096D" w:rsidRPr="00345913" w:rsidRDefault="00A9096D" w:rsidP="00A9096D">
      <w:pPr>
        <w:pStyle w:val="Odsekzoznamu"/>
        <w:numPr>
          <w:ilvl w:val="0"/>
          <w:numId w:val="2"/>
        </w:numPr>
        <w:spacing w:line="276" w:lineRule="auto"/>
        <w:jc w:val="both"/>
        <w:rPr>
          <w:rFonts w:asciiTheme="minorHAnsi" w:eastAsia="Times New Roman" w:hAnsiTheme="minorHAnsi" w:cstheme="minorHAnsi"/>
          <w:sz w:val="24"/>
          <w:szCs w:val="24"/>
          <w:lang w:val="en-GB"/>
        </w:rPr>
      </w:pPr>
      <w:r w:rsidRPr="00345913">
        <w:rPr>
          <w:rFonts w:asciiTheme="minorHAnsi" w:eastAsia="Times New Roman" w:hAnsiTheme="minorHAnsi" w:cstheme="minorHAnsi"/>
          <w:sz w:val="24"/>
          <w:szCs w:val="24"/>
          <w:lang w:val="en-GB"/>
        </w:rPr>
        <w:t xml:space="preserve">maintain continuous support for schemes with geographic approach to </w:t>
      </w:r>
      <w:r w:rsidRPr="00345913">
        <w:rPr>
          <w:rFonts w:asciiTheme="minorHAnsi" w:eastAsia="Times New Roman" w:hAnsiTheme="minorHAnsi" w:cstheme="minorHAnsi"/>
          <w:b/>
          <w:sz w:val="24"/>
          <w:szCs w:val="24"/>
          <w:lang w:val="en-GB"/>
        </w:rPr>
        <w:t>build up experience,</w:t>
      </w:r>
      <w:r w:rsidRPr="00345913">
        <w:rPr>
          <w:rFonts w:asciiTheme="minorHAnsi" w:eastAsia="Times New Roman" w:hAnsiTheme="minorHAnsi" w:cstheme="minorHAnsi"/>
          <w:sz w:val="24"/>
          <w:szCs w:val="24"/>
          <w:lang w:val="en-GB"/>
        </w:rPr>
        <w:t xml:space="preserve"> e.g. with project coordination while maintaining excellence as a priority</w:t>
      </w:r>
      <w:r w:rsidR="00907D82" w:rsidRPr="00345913">
        <w:rPr>
          <w:rFonts w:asciiTheme="minorHAnsi" w:eastAsia="Times New Roman" w:hAnsiTheme="minorHAnsi" w:cstheme="minorHAnsi"/>
          <w:sz w:val="24"/>
          <w:szCs w:val="24"/>
          <w:lang w:val="en-GB"/>
        </w:rPr>
        <w:t>;</w:t>
      </w:r>
    </w:p>
    <w:p w14:paraId="5C2C4603" w14:textId="1FBC466D" w:rsidR="00FF610B" w:rsidRPr="00345913" w:rsidRDefault="00CA28EC" w:rsidP="00261E20">
      <w:pPr>
        <w:pStyle w:val="Odsekzoznamu"/>
        <w:numPr>
          <w:ilvl w:val="0"/>
          <w:numId w:val="2"/>
        </w:numPr>
        <w:spacing w:line="276" w:lineRule="auto"/>
        <w:jc w:val="both"/>
        <w:rPr>
          <w:rFonts w:asciiTheme="minorHAnsi" w:eastAsia="Times New Roman" w:hAnsiTheme="minorHAnsi" w:cstheme="minorHAnsi"/>
          <w:sz w:val="24"/>
          <w:szCs w:val="24"/>
          <w:lang w:val="en-GB"/>
        </w:rPr>
      </w:pPr>
      <w:r w:rsidRPr="00345913">
        <w:rPr>
          <w:rFonts w:asciiTheme="minorHAnsi" w:eastAsia="Times New Roman" w:hAnsiTheme="minorHAnsi" w:cstheme="minorHAnsi"/>
          <w:sz w:val="24"/>
          <w:szCs w:val="24"/>
          <w:lang w:val="en-GB"/>
        </w:rPr>
        <w:t xml:space="preserve">support  </w:t>
      </w:r>
      <w:r w:rsidR="00FF610B" w:rsidRPr="00345913">
        <w:rPr>
          <w:rFonts w:asciiTheme="minorHAnsi" w:eastAsia="Times New Roman" w:hAnsiTheme="minorHAnsi" w:cstheme="minorHAnsi"/>
          <w:b/>
          <w:sz w:val="24"/>
          <w:szCs w:val="24"/>
          <w:lang w:val="en-GB"/>
        </w:rPr>
        <w:t xml:space="preserve">projects with macro-regional </w:t>
      </w:r>
      <w:r w:rsidR="00395147" w:rsidRPr="00345913">
        <w:rPr>
          <w:rFonts w:asciiTheme="minorHAnsi" w:eastAsia="Times New Roman" w:hAnsiTheme="minorHAnsi" w:cstheme="minorHAnsi"/>
          <w:b/>
          <w:sz w:val="24"/>
          <w:szCs w:val="24"/>
          <w:lang w:val="en-GB"/>
        </w:rPr>
        <w:t xml:space="preserve">focus </w:t>
      </w:r>
      <w:r w:rsidR="00395147" w:rsidRPr="00345913">
        <w:rPr>
          <w:rFonts w:asciiTheme="minorHAnsi" w:eastAsia="Times New Roman" w:hAnsiTheme="minorHAnsi" w:cstheme="minorHAnsi"/>
          <w:sz w:val="24"/>
          <w:szCs w:val="24"/>
          <w:lang w:val="en-GB"/>
        </w:rPr>
        <w:t xml:space="preserve"> </w:t>
      </w:r>
      <w:r w:rsidR="00B665A6" w:rsidRPr="00345913">
        <w:rPr>
          <w:rFonts w:asciiTheme="minorHAnsi" w:eastAsia="Times New Roman" w:hAnsiTheme="minorHAnsi" w:cstheme="minorHAnsi"/>
          <w:sz w:val="24"/>
          <w:szCs w:val="24"/>
          <w:lang w:val="en-GB"/>
        </w:rPr>
        <w:t>to guarantee regional-level impact on competitiveness and on solving dedicated challenges in innovative ways (e.g. addressing specific ecological</w:t>
      </w:r>
      <w:r w:rsidRPr="00345913">
        <w:rPr>
          <w:rFonts w:asciiTheme="minorHAnsi" w:eastAsia="Times New Roman" w:hAnsiTheme="minorHAnsi" w:cstheme="minorHAnsi"/>
          <w:sz w:val="24"/>
          <w:szCs w:val="24"/>
          <w:lang w:val="en-GB"/>
        </w:rPr>
        <w:t>, societal</w:t>
      </w:r>
      <w:r w:rsidR="00B665A6" w:rsidRPr="00345913">
        <w:rPr>
          <w:rFonts w:asciiTheme="minorHAnsi" w:eastAsia="Times New Roman" w:hAnsiTheme="minorHAnsi" w:cstheme="minorHAnsi"/>
          <w:sz w:val="24"/>
          <w:szCs w:val="24"/>
          <w:lang w:val="en-GB"/>
        </w:rPr>
        <w:t xml:space="preserve"> and health challenges);</w:t>
      </w:r>
    </w:p>
    <w:p w14:paraId="317605DB" w14:textId="26D85468" w:rsidR="00FF610B" w:rsidRDefault="00FF610B" w:rsidP="00261E20">
      <w:pPr>
        <w:numPr>
          <w:ilvl w:val="0"/>
          <w:numId w:val="2"/>
        </w:numPr>
        <w:spacing w:after="0" w:line="276" w:lineRule="auto"/>
        <w:jc w:val="both"/>
        <w:rPr>
          <w:rFonts w:eastAsia="Times New Roman" w:cstheme="minorHAnsi"/>
          <w:b/>
          <w:sz w:val="24"/>
          <w:szCs w:val="24"/>
        </w:rPr>
      </w:pPr>
      <w:r w:rsidRPr="00345913">
        <w:rPr>
          <w:rFonts w:eastAsia="Times New Roman" w:cstheme="minorHAnsi"/>
          <w:sz w:val="24"/>
          <w:szCs w:val="24"/>
        </w:rPr>
        <w:t xml:space="preserve">continue support for </w:t>
      </w:r>
      <w:r w:rsidRPr="00345913">
        <w:rPr>
          <w:rFonts w:eastAsia="Times New Roman" w:cstheme="minorHAnsi"/>
          <w:b/>
          <w:sz w:val="24"/>
          <w:szCs w:val="24"/>
        </w:rPr>
        <w:t>regional projects focused on specific aspects required for faster integration into the ERA</w:t>
      </w:r>
      <w:r w:rsidR="00E67F33">
        <w:rPr>
          <w:rFonts w:eastAsia="Times New Roman" w:cstheme="minorHAnsi"/>
          <w:b/>
          <w:sz w:val="24"/>
          <w:szCs w:val="24"/>
        </w:rPr>
        <w:t>;</w:t>
      </w:r>
    </w:p>
    <w:p w14:paraId="4DCE919E" w14:textId="7F864ED4" w:rsidR="00E67F33" w:rsidRPr="00345913" w:rsidRDefault="00E67F33" w:rsidP="00261E20">
      <w:pPr>
        <w:numPr>
          <w:ilvl w:val="0"/>
          <w:numId w:val="2"/>
        </w:numPr>
        <w:spacing w:after="0" w:line="276" w:lineRule="auto"/>
        <w:jc w:val="both"/>
        <w:rPr>
          <w:rFonts w:eastAsia="Times New Roman" w:cstheme="minorHAnsi"/>
          <w:b/>
          <w:sz w:val="24"/>
          <w:szCs w:val="24"/>
        </w:rPr>
      </w:pPr>
      <w:r>
        <w:rPr>
          <w:rFonts w:eastAsia="Times New Roman" w:cstheme="minorHAnsi"/>
          <w:b/>
          <w:sz w:val="24"/>
          <w:szCs w:val="24"/>
        </w:rPr>
        <w:t>overall, to strive for a strong and independent EU research programme</w:t>
      </w:r>
      <w:r w:rsidR="00CB6D80">
        <w:rPr>
          <w:rFonts w:eastAsia="Times New Roman" w:cstheme="minorHAnsi"/>
          <w:b/>
          <w:sz w:val="24"/>
          <w:szCs w:val="24"/>
        </w:rPr>
        <w:t xml:space="preserve"> after 2027</w:t>
      </w:r>
      <w:r>
        <w:rPr>
          <w:rFonts w:eastAsia="Times New Roman" w:cstheme="minorHAnsi"/>
          <w:b/>
          <w:sz w:val="24"/>
          <w:szCs w:val="24"/>
        </w:rPr>
        <w:t xml:space="preserve">, which allows for continuation of the successful schemes of Horizon 2020 and Horizon Europe. </w:t>
      </w:r>
    </w:p>
    <w:p w14:paraId="17CB80BF" w14:textId="77777777" w:rsidR="00FF610B" w:rsidRPr="00345913" w:rsidRDefault="00FF610B" w:rsidP="00261E20">
      <w:pPr>
        <w:spacing w:line="276" w:lineRule="auto"/>
        <w:jc w:val="both"/>
        <w:rPr>
          <w:rFonts w:cstheme="minorHAnsi"/>
          <w:sz w:val="24"/>
          <w:szCs w:val="24"/>
        </w:rPr>
      </w:pPr>
    </w:p>
    <w:p w14:paraId="7E7BB569" w14:textId="5AD48977" w:rsidR="005A0CCC" w:rsidRPr="00345913" w:rsidRDefault="005A0CCC" w:rsidP="00261E20">
      <w:pPr>
        <w:spacing w:line="276" w:lineRule="auto"/>
        <w:jc w:val="both"/>
        <w:rPr>
          <w:rFonts w:cstheme="minorHAnsi"/>
          <w:sz w:val="24"/>
          <w:szCs w:val="24"/>
        </w:rPr>
      </w:pPr>
    </w:p>
    <w:sectPr w:rsidR="005A0CCC" w:rsidRPr="00345913" w:rsidSect="008566EA">
      <w:headerReference w:type="default" r:id="rId8"/>
      <w:footerReference w:type="default" r:id="rId9"/>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65949" w14:textId="77777777" w:rsidR="00E66491" w:rsidRDefault="00E66491" w:rsidP="00D17503">
      <w:pPr>
        <w:spacing w:after="0" w:line="240" w:lineRule="auto"/>
      </w:pPr>
      <w:r>
        <w:separator/>
      </w:r>
    </w:p>
  </w:endnote>
  <w:endnote w:type="continuationSeparator" w:id="0">
    <w:p w14:paraId="38B013E5" w14:textId="77777777" w:rsidR="00E66491" w:rsidRDefault="00E66491" w:rsidP="00D175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9F3E6" w14:textId="494566CF" w:rsidR="00C8248A" w:rsidRDefault="00335960" w:rsidP="00335960">
    <w:pPr>
      <w:pStyle w:val="Pta"/>
      <w:ind w:left="-1418"/>
    </w:pPr>
    <w:r>
      <w:rPr>
        <w:noProof/>
        <w:lang w:val="sk-SK" w:eastAsia="sk-SK"/>
      </w:rPr>
      <w:drawing>
        <wp:inline distT="0" distB="0" distL="0" distR="0" wp14:anchorId="0685E9AC" wp14:editId="61779E44">
          <wp:extent cx="1725482" cy="706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SDR PILLAR 3_flip_graphics logo.png"/>
                  <pic:cNvPicPr/>
                </pic:nvPicPr>
                <pic:blipFill>
                  <a:blip r:embed="rId1">
                    <a:extLst>
                      <a:ext uri="{28A0092B-C50C-407E-A947-70E740481C1C}">
                        <a14:useLocalDpi xmlns:a14="http://schemas.microsoft.com/office/drawing/2010/main" val="0"/>
                      </a:ext>
                    </a:extLst>
                  </a:blip>
                  <a:stretch>
                    <a:fillRect/>
                  </a:stretch>
                </pic:blipFill>
                <pic:spPr>
                  <a:xfrm>
                    <a:off x="0" y="0"/>
                    <a:ext cx="1794942" cy="7345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8F0065" w14:textId="77777777" w:rsidR="00E66491" w:rsidRDefault="00E66491" w:rsidP="00D17503">
      <w:pPr>
        <w:spacing w:after="0" w:line="240" w:lineRule="auto"/>
      </w:pPr>
      <w:r>
        <w:separator/>
      </w:r>
    </w:p>
  </w:footnote>
  <w:footnote w:type="continuationSeparator" w:id="0">
    <w:p w14:paraId="02B28B4C" w14:textId="77777777" w:rsidR="00E66491" w:rsidRDefault="00E66491" w:rsidP="00D17503">
      <w:pPr>
        <w:spacing w:after="0" w:line="240" w:lineRule="auto"/>
      </w:pPr>
      <w:r>
        <w:continuationSeparator/>
      </w:r>
    </w:p>
  </w:footnote>
  <w:footnote w:id="1">
    <w:p w14:paraId="3078D382" w14:textId="70C269FE" w:rsidR="00320D45" w:rsidRPr="00CA28EC" w:rsidRDefault="00320D45">
      <w:pPr>
        <w:pStyle w:val="Textpoznmkypodiarou"/>
        <w:rPr>
          <w:lang w:val="sk-SK"/>
        </w:rPr>
      </w:pPr>
      <w:r>
        <w:rPr>
          <w:rStyle w:val="Odkaznapoznmkupodiarou"/>
        </w:rPr>
        <w:footnoteRef/>
      </w:r>
      <w:r>
        <w:t xml:space="preserve"> </w:t>
      </w:r>
      <w:hyperlink r:id="rId1" w:history="1">
        <w:r>
          <w:rPr>
            <w:rStyle w:val="Hypertextovprepojenie"/>
          </w:rPr>
          <w:t>Align, act, accelerate - Publications Office of the 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A1FD4" w14:textId="029F9E33" w:rsidR="00D17503" w:rsidRDefault="00D75416" w:rsidP="00D75416">
    <w:pPr>
      <w:pStyle w:val="Hlavika"/>
      <w:jc w:val="center"/>
    </w:pPr>
    <w:r>
      <w:rPr>
        <w:noProof/>
        <w:lang w:val="sk-SK" w:eastAsia="sk-SK"/>
      </w:rPr>
      <w:drawing>
        <wp:inline distT="0" distB="0" distL="0" distR="0" wp14:anchorId="55DD61C9" wp14:editId="0AD0E547">
          <wp:extent cx="5064316" cy="396000"/>
          <wp:effectExtent l="0" t="0" r="3175" b="4445"/>
          <wp:docPr id="1027105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10526"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64316" cy="396000"/>
                  </a:xfrm>
                  <a:prstGeom prst="rect">
                    <a:avLst/>
                  </a:prstGeom>
                  <a:noFill/>
                  <a:ln>
                    <a:noFill/>
                  </a:ln>
                </pic:spPr>
              </pic:pic>
            </a:graphicData>
          </a:graphic>
        </wp:inline>
      </w:drawing>
    </w:r>
  </w:p>
  <w:p w14:paraId="245F4242" w14:textId="77777777" w:rsidR="00D17503" w:rsidRDefault="00D1750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7422AA"/>
    <w:multiLevelType w:val="hybridMultilevel"/>
    <w:tmpl w:val="3DCACD4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47A42B4C"/>
    <w:multiLevelType w:val="hybridMultilevel"/>
    <w:tmpl w:val="8A4ABF78"/>
    <w:lvl w:ilvl="0" w:tplc="041B0001">
      <w:start w:val="1"/>
      <w:numFmt w:val="bullet"/>
      <w:lvlText w:val=""/>
      <w:lvlJc w:val="left"/>
      <w:pPr>
        <w:ind w:left="825" w:hanging="360"/>
      </w:pPr>
      <w:rPr>
        <w:rFonts w:ascii="Symbol" w:hAnsi="Symbol" w:hint="default"/>
      </w:rPr>
    </w:lvl>
    <w:lvl w:ilvl="1" w:tplc="041B0003" w:tentative="1">
      <w:start w:val="1"/>
      <w:numFmt w:val="bullet"/>
      <w:lvlText w:val="o"/>
      <w:lvlJc w:val="left"/>
      <w:pPr>
        <w:ind w:left="1545" w:hanging="360"/>
      </w:pPr>
      <w:rPr>
        <w:rFonts w:ascii="Courier New" w:hAnsi="Courier New" w:cs="Courier New" w:hint="default"/>
      </w:rPr>
    </w:lvl>
    <w:lvl w:ilvl="2" w:tplc="041B0005" w:tentative="1">
      <w:start w:val="1"/>
      <w:numFmt w:val="bullet"/>
      <w:lvlText w:val=""/>
      <w:lvlJc w:val="left"/>
      <w:pPr>
        <w:ind w:left="2265" w:hanging="360"/>
      </w:pPr>
      <w:rPr>
        <w:rFonts w:ascii="Wingdings" w:hAnsi="Wingdings" w:hint="default"/>
      </w:rPr>
    </w:lvl>
    <w:lvl w:ilvl="3" w:tplc="041B0001" w:tentative="1">
      <w:start w:val="1"/>
      <w:numFmt w:val="bullet"/>
      <w:lvlText w:val=""/>
      <w:lvlJc w:val="left"/>
      <w:pPr>
        <w:ind w:left="2985" w:hanging="360"/>
      </w:pPr>
      <w:rPr>
        <w:rFonts w:ascii="Symbol" w:hAnsi="Symbol" w:hint="default"/>
      </w:rPr>
    </w:lvl>
    <w:lvl w:ilvl="4" w:tplc="041B0003" w:tentative="1">
      <w:start w:val="1"/>
      <w:numFmt w:val="bullet"/>
      <w:lvlText w:val="o"/>
      <w:lvlJc w:val="left"/>
      <w:pPr>
        <w:ind w:left="3705" w:hanging="360"/>
      </w:pPr>
      <w:rPr>
        <w:rFonts w:ascii="Courier New" w:hAnsi="Courier New" w:cs="Courier New" w:hint="default"/>
      </w:rPr>
    </w:lvl>
    <w:lvl w:ilvl="5" w:tplc="041B0005" w:tentative="1">
      <w:start w:val="1"/>
      <w:numFmt w:val="bullet"/>
      <w:lvlText w:val=""/>
      <w:lvlJc w:val="left"/>
      <w:pPr>
        <w:ind w:left="4425" w:hanging="360"/>
      </w:pPr>
      <w:rPr>
        <w:rFonts w:ascii="Wingdings" w:hAnsi="Wingdings" w:hint="default"/>
      </w:rPr>
    </w:lvl>
    <w:lvl w:ilvl="6" w:tplc="041B0001" w:tentative="1">
      <w:start w:val="1"/>
      <w:numFmt w:val="bullet"/>
      <w:lvlText w:val=""/>
      <w:lvlJc w:val="left"/>
      <w:pPr>
        <w:ind w:left="5145" w:hanging="360"/>
      </w:pPr>
      <w:rPr>
        <w:rFonts w:ascii="Symbol" w:hAnsi="Symbol" w:hint="default"/>
      </w:rPr>
    </w:lvl>
    <w:lvl w:ilvl="7" w:tplc="041B0003" w:tentative="1">
      <w:start w:val="1"/>
      <w:numFmt w:val="bullet"/>
      <w:lvlText w:val="o"/>
      <w:lvlJc w:val="left"/>
      <w:pPr>
        <w:ind w:left="5865" w:hanging="360"/>
      </w:pPr>
      <w:rPr>
        <w:rFonts w:ascii="Courier New" w:hAnsi="Courier New" w:cs="Courier New" w:hint="default"/>
      </w:rPr>
    </w:lvl>
    <w:lvl w:ilvl="8" w:tplc="041B0005" w:tentative="1">
      <w:start w:val="1"/>
      <w:numFmt w:val="bullet"/>
      <w:lvlText w:val=""/>
      <w:lvlJc w:val="left"/>
      <w:pPr>
        <w:ind w:left="6585" w:hanging="360"/>
      </w:pPr>
      <w:rPr>
        <w:rFonts w:ascii="Wingdings" w:hAnsi="Wingdings" w:hint="default"/>
      </w:rPr>
    </w:lvl>
  </w:abstractNum>
  <w:num w:numId="1" w16cid:durableId="529956789">
    <w:abstractNumId w:val="0"/>
  </w:num>
  <w:num w:numId="2" w16cid:durableId="729504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7D1"/>
    <w:rsid w:val="00010473"/>
    <w:rsid w:val="0007240F"/>
    <w:rsid w:val="00115DEE"/>
    <w:rsid w:val="001541B8"/>
    <w:rsid w:val="001B0426"/>
    <w:rsid w:val="002067E9"/>
    <w:rsid w:val="00212037"/>
    <w:rsid w:val="00261E20"/>
    <w:rsid w:val="00285A3E"/>
    <w:rsid w:val="00320D45"/>
    <w:rsid w:val="00335960"/>
    <w:rsid w:val="003439D2"/>
    <w:rsid w:val="00345913"/>
    <w:rsid w:val="00395147"/>
    <w:rsid w:val="003E4404"/>
    <w:rsid w:val="0040617D"/>
    <w:rsid w:val="004B797B"/>
    <w:rsid w:val="004E6A24"/>
    <w:rsid w:val="0051107D"/>
    <w:rsid w:val="005A0CCC"/>
    <w:rsid w:val="005A21FC"/>
    <w:rsid w:val="005B0C79"/>
    <w:rsid w:val="005D3FF2"/>
    <w:rsid w:val="00653410"/>
    <w:rsid w:val="006810E2"/>
    <w:rsid w:val="006A6BDE"/>
    <w:rsid w:val="006B748D"/>
    <w:rsid w:val="007156BD"/>
    <w:rsid w:val="00740536"/>
    <w:rsid w:val="007540F1"/>
    <w:rsid w:val="00772CEF"/>
    <w:rsid w:val="00774234"/>
    <w:rsid w:val="007829D0"/>
    <w:rsid w:val="007B3C2A"/>
    <w:rsid w:val="007F024C"/>
    <w:rsid w:val="007F2C5C"/>
    <w:rsid w:val="00850FBA"/>
    <w:rsid w:val="008566EA"/>
    <w:rsid w:val="0087215A"/>
    <w:rsid w:val="008A05DC"/>
    <w:rsid w:val="008C5566"/>
    <w:rsid w:val="00907D82"/>
    <w:rsid w:val="009400EB"/>
    <w:rsid w:val="00985FB8"/>
    <w:rsid w:val="009F1861"/>
    <w:rsid w:val="00A224EB"/>
    <w:rsid w:val="00A4262E"/>
    <w:rsid w:val="00A9096D"/>
    <w:rsid w:val="00B278AD"/>
    <w:rsid w:val="00B44996"/>
    <w:rsid w:val="00B665A6"/>
    <w:rsid w:val="00B87538"/>
    <w:rsid w:val="00C22C1D"/>
    <w:rsid w:val="00C63F51"/>
    <w:rsid w:val="00C75537"/>
    <w:rsid w:val="00C80445"/>
    <w:rsid w:val="00C8248A"/>
    <w:rsid w:val="00CA28EC"/>
    <w:rsid w:val="00CA31A9"/>
    <w:rsid w:val="00CB1D74"/>
    <w:rsid w:val="00CB6D80"/>
    <w:rsid w:val="00CE05DF"/>
    <w:rsid w:val="00D17503"/>
    <w:rsid w:val="00D75416"/>
    <w:rsid w:val="00DC7635"/>
    <w:rsid w:val="00E274E2"/>
    <w:rsid w:val="00E66491"/>
    <w:rsid w:val="00E67F33"/>
    <w:rsid w:val="00EA67D1"/>
    <w:rsid w:val="00F55A78"/>
    <w:rsid w:val="00F62E4E"/>
    <w:rsid w:val="00F92FAF"/>
    <w:rsid w:val="00FB026B"/>
    <w:rsid w:val="00FC6735"/>
    <w:rsid w:val="00FC7141"/>
    <w:rsid w:val="00FF61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79257"/>
  <w15:chartTrackingRefBased/>
  <w15:docId w15:val="{904C667B-B67E-46F5-89C0-C55E3F431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17503"/>
    <w:pPr>
      <w:tabs>
        <w:tab w:val="center" w:pos="4513"/>
        <w:tab w:val="right" w:pos="9026"/>
      </w:tabs>
      <w:spacing w:after="0" w:line="240" w:lineRule="auto"/>
    </w:pPr>
  </w:style>
  <w:style w:type="character" w:customStyle="1" w:styleId="HlavikaChar">
    <w:name w:val="Hlavička Char"/>
    <w:basedOn w:val="Predvolenpsmoodseku"/>
    <w:link w:val="Hlavika"/>
    <w:uiPriority w:val="99"/>
    <w:rsid w:val="00D17503"/>
  </w:style>
  <w:style w:type="paragraph" w:styleId="Pta">
    <w:name w:val="footer"/>
    <w:basedOn w:val="Normlny"/>
    <w:link w:val="PtaChar"/>
    <w:uiPriority w:val="99"/>
    <w:unhideWhenUsed/>
    <w:rsid w:val="00D17503"/>
    <w:pPr>
      <w:tabs>
        <w:tab w:val="center" w:pos="4513"/>
        <w:tab w:val="right" w:pos="9026"/>
      </w:tabs>
      <w:spacing w:after="0" w:line="240" w:lineRule="auto"/>
    </w:pPr>
  </w:style>
  <w:style w:type="character" w:customStyle="1" w:styleId="PtaChar">
    <w:name w:val="Päta Char"/>
    <w:basedOn w:val="Predvolenpsmoodseku"/>
    <w:link w:val="Pta"/>
    <w:uiPriority w:val="99"/>
    <w:rsid w:val="00D17503"/>
  </w:style>
  <w:style w:type="paragraph" w:styleId="Odsekzoznamu">
    <w:name w:val="List Paragraph"/>
    <w:basedOn w:val="Normlny"/>
    <w:uiPriority w:val="34"/>
    <w:qFormat/>
    <w:rsid w:val="00FF610B"/>
    <w:pPr>
      <w:spacing w:after="0" w:line="240" w:lineRule="auto"/>
      <w:ind w:left="720"/>
      <w:contextualSpacing/>
    </w:pPr>
    <w:rPr>
      <w:rFonts w:ascii="Calibri" w:hAnsi="Calibri" w:cs="Calibri"/>
      <w:lang w:val="sk-SK"/>
    </w:rPr>
  </w:style>
  <w:style w:type="character" w:styleId="Odkaznakomentr">
    <w:name w:val="annotation reference"/>
    <w:basedOn w:val="Predvolenpsmoodseku"/>
    <w:uiPriority w:val="99"/>
    <w:semiHidden/>
    <w:unhideWhenUsed/>
    <w:rsid w:val="003E4404"/>
    <w:rPr>
      <w:sz w:val="16"/>
      <w:szCs w:val="16"/>
    </w:rPr>
  </w:style>
  <w:style w:type="paragraph" w:styleId="Textkomentra">
    <w:name w:val="annotation text"/>
    <w:basedOn w:val="Normlny"/>
    <w:link w:val="TextkomentraChar"/>
    <w:uiPriority w:val="99"/>
    <w:semiHidden/>
    <w:unhideWhenUsed/>
    <w:rsid w:val="003E4404"/>
    <w:pPr>
      <w:spacing w:line="240" w:lineRule="auto"/>
    </w:pPr>
    <w:rPr>
      <w:sz w:val="20"/>
      <w:szCs w:val="20"/>
    </w:rPr>
  </w:style>
  <w:style w:type="character" w:customStyle="1" w:styleId="TextkomentraChar">
    <w:name w:val="Text komentára Char"/>
    <w:basedOn w:val="Predvolenpsmoodseku"/>
    <w:link w:val="Textkomentra"/>
    <w:uiPriority w:val="99"/>
    <w:semiHidden/>
    <w:rsid w:val="003E4404"/>
    <w:rPr>
      <w:sz w:val="20"/>
      <w:szCs w:val="20"/>
    </w:rPr>
  </w:style>
  <w:style w:type="paragraph" w:styleId="Predmetkomentra">
    <w:name w:val="annotation subject"/>
    <w:basedOn w:val="Textkomentra"/>
    <w:next w:val="Textkomentra"/>
    <w:link w:val="PredmetkomentraChar"/>
    <w:uiPriority w:val="99"/>
    <w:semiHidden/>
    <w:unhideWhenUsed/>
    <w:rsid w:val="003E4404"/>
    <w:rPr>
      <w:b/>
      <w:bCs/>
    </w:rPr>
  </w:style>
  <w:style w:type="character" w:customStyle="1" w:styleId="PredmetkomentraChar">
    <w:name w:val="Predmet komentára Char"/>
    <w:basedOn w:val="TextkomentraChar"/>
    <w:link w:val="Predmetkomentra"/>
    <w:uiPriority w:val="99"/>
    <w:semiHidden/>
    <w:rsid w:val="003E4404"/>
    <w:rPr>
      <w:b/>
      <w:bCs/>
      <w:sz w:val="20"/>
      <w:szCs w:val="20"/>
    </w:rPr>
  </w:style>
  <w:style w:type="paragraph" w:styleId="Textbubliny">
    <w:name w:val="Balloon Text"/>
    <w:basedOn w:val="Normlny"/>
    <w:link w:val="TextbublinyChar"/>
    <w:uiPriority w:val="99"/>
    <w:semiHidden/>
    <w:unhideWhenUsed/>
    <w:rsid w:val="003E4404"/>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3E4404"/>
    <w:rPr>
      <w:rFonts w:ascii="Segoe UI" w:hAnsi="Segoe UI" w:cs="Segoe UI"/>
      <w:sz w:val="18"/>
      <w:szCs w:val="18"/>
    </w:rPr>
  </w:style>
  <w:style w:type="character" w:styleId="Hypertextovprepojenie">
    <w:name w:val="Hyperlink"/>
    <w:basedOn w:val="Predvolenpsmoodseku"/>
    <w:uiPriority w:val="99"/>
    <w:semiHidden/>
    <w:unhideWhenUsed/>
    <w:rsid w:val="003439D2"/>
    <w:rPr>
      <w:color w:val="0000FF"/>
      <w:u w:val="single"/>
    </w:rPr>
  </w:style>
  <w:style w:type="paragraph" w:styleId="Textpoznmkypodiarou">
    <w:name w:val="footnote text"/>
    <w:basedOn w:val="Normlny"/>
    <w:link w:val="TextpoznmkypodiarouChar"/>
    <w:uiPriority w:val="99"/>
    <w:semiHidden/>
    <w:unhideWhenUsed/>
    <w:rsid w:val="00320D4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320D45"/>
    <w:rPr>
      <w:sz w:val="20"/>
      <w:szCs w:val="20"/>
    </w:rPr>
  </w:style>
  <w:style w:type="character" w:styleId="Odkaznapoznmkupodiarou">
    <w:name w:val="footnote reference"/>
    <w:basedOn w:val="Predvolenpsmoodseku"/>
    <w:uiPriority w:val="99"/>
    <w:semiHidden/>
    <w:unhideWhenUsed/>
    <w:rsid w:val="00320D45"/>
    <w:rPr>
      <w:vertAlign w:val="superscript"/>
    </w:rPr>
  </w:style>
  <w:style w:type="paragraph" w:styleId="Revzia">
    <w:name w:val="Revision"/>
    <w:hidden/>
    <w:uiPriority w:val="99"/>
    <w:semiHidden/>
    <w:rsid w:val="00E274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op.europa.eu/en/publication-detail/-/publication/2f9fc221-86bb-11ef-a67d-01aa75ed71a1/language-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AE895-1DE8-4FE4-BC2E-390A54E6F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538</Words>
  <Characters>3069</Characters>
  <Application>Microsoft Office Word</Application>
  <DocSecurity>0</DocSecurity>
  <Lines>25</Lines>
  <Paragraphs>7</Paragraphs>
  <ScaleCrop>false</ScaleCrop>
  <HeadingPairs>
    <vt:vector size="6" baseType="variant">
      <vt:variant>
        <vt:lpstr>Titel</vt:lpstr>
      </vt:variant>
      <vt:variant>
        <vt:i4>1</vt:i4>
      </vt:variant>
      <vt:variant>
        <vt:lpstr>Názov</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Stoenescu</dc:creator>
  <cp:keywords/>
  <dc:description/>
  <cp:lastModifiedBy>Martin Kováč</cp:lastModifiedBy>
  <cp:revision>4</cp:revision>
  <dcterms:created xsi:type="dcterms:W3CDTF">2025-03-06T14:16:00Z</dcterms:created>
  <dcterms:modified xsi:type="dcterms:W3CDTF">2025-03-15T16:19:00Z</dcterms:modified>
</cp:coreProperties>
</file>